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36" w:rsidRDefault="00364E36" w:rsidP="00364E36">
      <w:r>
        <w:t>Jedes Symbol in dem Geheimtext steht als Platzhalter für einen Buchstaben des deutschen Alphab</w:t>
      </w:r>
      <w:r>
        <w:t>e</w:t>
      </w:r>
      <w:r>
        <w:t>tes. (Unterschiedliche Symbole stehen demnach auch für unterschiedliche Buchstaben!) In dieser Hilfeste</w:t>
      </w:r>
      <w:r>
        <w:t>l</w:t>
      </w:r>
      <w:r>
        <w:t xml:space="preserve">lung ist eine Häufigkeitsauszählung der Buchstaben des deutschen Alphabetes gegeben. Du kannst davon ausgehen, dass die Häufigkeiten des Geheimtextes mit den tatsächlichen Häufigkeiten in der deutschen Sprache übereinstimmen. </w:t>
      </w:r>
    </w:p>
    <w:p w:rsidR="00364E36" w:rsidRPr="00FF02D4" w:rsidRDefault="00364E36" w:rsidP="00364E36">
      <w:r>
        <w:t>Welche Vermutung lässt sich über das am häufigsten vorkommende Symbol im Geheimtext ä</w:t>
      </w:r>
      <w:r>
        <w:t>u</w:t>
      </w:r>
      <w:r>
        <w:t>ßern?</w:t>
      </w:r>
    </w:p>
    <w:p w:rsidR="00364E36" w:rsidRPr="005E24E0" w:rsidRDefault="00364E36" w:rsidP="00364E36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096"/>
      </w:tblGrid>
      <w:tr w:rsidR="00364E36" w:rsidRPr="00A319FD">
        <w:trPr>
          <w:tblCellSpacing w:w="0" w:type="dxa"/>
        </w:trPr>
        <w:tc>
          <w:tcPr>
            <w:tcW w:w="5000" w:type="pct"/>
            <w:shd w:val="clear" w:color="auto" w:fill="auto"/>
            <w:vAlign w:val="center"/>
          </w:tcPr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000"/>
            </w:tblGrid>
            <w:tr w:rsidR="00364E36" w:rsidRPr="00A319FD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W w:w="0" w:type="auto"/>
                    <w:jc w:val="center"/>
                    <w:tblCellSpacing w:w="0" w:type="dxa"/>
                    <w:shd w:val="clear" w:color="auto" w:fill="757500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30"/>
                  </w:tblGrid>
                  <w:tr w:rsidR="00364E36" w:rsidRPr="00A319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757500"/>
                        <w:vAlign w:val="center"/>
                      </w:tcPr>
                      <w:tbl>
                        <w:tblPr>
                          <w:tblW w:w="0" w:type="auto"/>
                          <w:tblCellSpacing w:w="7" w:type="dxa"/>
                          <w:tblCellMar>
                            <w:top w:w="60" w:type="dxa"/>
                            <w:left w:w="60" w:type="dxa"/>
                            <w:bottom w:w="60" w:type="dxa"/>
                            <w:right w:w="60" w:type="dxa"/>
                          </w:tblCellMar>
                          <w:tblLook w:val="0000"/>
                        </w:tblPr>
                        <w:tblGrid>
                          <w:gridCol w:w="1342"/>
                          <w:gridCol w:w="1327"/>
                          <w:gridCol w:w="1335"/>
                          <w:gridCol w:w="1327"/>
                          <w:gridCol w:w="1335"/>
                          <w:gridCol w:w="1334"/>
                        </w:tblGrid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B9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Buchstabe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B9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Häufigkeit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B9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Buchstabe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B9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Häufigkeit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B9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Buchstabe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B9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800080"/>
                                  <w:sz w:val="20"/>
                                  <w:szCs w:val="20"/>
                                </w:rPr>
                                <w:t>Häufigkeit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6,51 %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j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0,27 %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7,00 %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1,89 %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k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1,21 %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7,27 %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3,06 %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3,44 %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t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6,15 %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5,08 %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2,53 %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4,35 %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17,40 %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9,78 %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v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0,67 %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f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1,66 %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m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2,53 %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w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1,89 %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g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3,01 %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o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2,51 %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0,03 %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4,76 %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p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0,29 %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y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0,04 %</w:t>
                              </w:r>
                            </w:p>
                          </w:tc>
                        </w:tr>
                        <w:tr w:rsidR="00364E36" w:rsidRPr="00A319FD">
                          <w:trPr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i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7,55 %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q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0,02 %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D5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b/>
                                  <w:bCs/>
                                  <w:color w:val="0000FF"/>
                                </w:rPr>
                                <w:t>z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EA"/>
                              <w:vAlign w:val="center"/>
                            </w:tcPr>
                            <w:p w:rsidR="00364E36" w:rsidRPr="00A319FD" w:rsidRDefault="00364E36" w:rsidP="00A319FD">
                              <w:pPr>
                                <w:jc w:val="right"/>
                                <w:rPr>
                                  <w:color w:val="800080"/>
                                </w:rPr>
                              </w:pPr>
                              <w:r w:rsidRPr="00A319FD">
                                <w:rPr>
                                  <w:rFonts w:ascii="Verdana" w:hAnsi="Verdana"/>
                                  <w:color w:val="800080"/>
                                  <w:sz w:val="20"/>
                                  <w:szCs w:val="20"/>
                                </w:rPr>
                                <w:t> 1,13 %</w:t>
                              </w:r>
                            </w:p>
                          </w:tc>
                        </w:tr>
                      </w:tbl>
                      <w:p w:rsidR="00364E36" w:rsidRPr="00A319FD" w:rsidRDefault="00364E36" w:rsidP="00A319FD">
                        <w:pPr>
                          <w:rPr>
                            <w:color w:val="800080"/>
                          </w:rPr>
                        </w:pPr>
                      </w:p>
                    </w:tc>
                  </w:tr>
                </w:tbl>
                <w:p w:rsidR="00364E36" w:rsidRPr="00A319FD" w:rsidRDefault="00364E36" w:rsidP="00A319FD">
                  <w:pPr>
                    <w:jc w:val="center"/>
                    <w:rPr>
                      <w:color w:val="800080"/>
                    </w:rPr>
                  </w:pPr>
                </w:p>
              </w:tc>
            </w:tr>
          </w:tbl>
          <w:p w:rsidR="00364E36" w:rsidRPr="00A319FD" w:rsidRDefault="00364E36" w:rsidP="00A319FD">
            <w:pPr>
              <w:jc w:val="center"/>
              <w:rPr>
                <w:color w:val="800080"/>
              </w:rPr>
            </w:pPr>
          </w:p>
        </w:tc>
      </w:tr>
    </w:tbl>
    <w:p w:rsidR="00364E36" w:rsidRDefault="00364E36" w:rsidP="00364E36"/>
    <w:p w:rsidR="00177302" w:rsidRDefault="00364E36"/>
    <w:sectPr w:rsidR="00177302" w:rsidSect="0017730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64E36"/>
    <w:rsid w:val="00364E3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4E36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516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Tepaße</dc:creator>
  <cp:keywords/>
  <cp:lastModifiedBy>David Tepaße</cp:lastModifiedBy>
  <cp:revision>1</cp:revision>
  <dcterms:created xsi:type="dcterms:W3CDTF">2011-03-03T11:10:00Z</dcterms:created>
  <dcterms:modified xsi:type="dcterms:W3CDTF">2011-03-03T11:11:00Z</dcterms:modified>
</cp:coreProperties>
</file>